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ra4"/>
        <w:spacing/>
        <w:jc w:val="center"/>
        <w:rPr>
          <w:b/>
          <w:bCs/>
          <w:u w:color="auto" w:val="single"/>
        </w:rPr>
      </w:pPr>
      <w:r>
        <w:rPr>
          <w:b/>
          <w:bCs/>
          <w:u w:color="auto" w:val="single"/>
        </w:rPr>
        <w:t>The EuroGOOS Costal Working Group (WG)</w:t>
      </w:r>
    </w:p>
    <w:p>
      <w:pPr>
        <w:pStyle w:val="para4"/>
      </w:pPr>
      <w:r/>
    </w:p>
    <w:p>
      <w:pPr>
        <w:pStyle w:val="para4"/>
      </w:pPr>
      <w:r>
        <w:t>The Coastal WG started its activities with a kick off meeting on May 9th 2018. The group gathers different members of the EuroGOOS community, namely</w:t>
      </w:r>
    </w:p>
    <w:p>
      <w:pPr>
        <w:pStyle w:val="para4"/>
      </w:pPr>
      <w:r>
        <w:t xml:space="preserve"> </w:t>
      </w:r>
    </w:p>
    <w:p>
      <w:pPr>
        <w:pStyle w:val="para6"/>
        <w:numPr>
          <w:ilvl w:val="0"/>
          <w:numId w:val="2"/>
        </w:numPr>
        <w:ind w:left="707" w:hanging="283"/>
        <w:spacing w:after="0"/>
      </w:pPr>
      <w:r>
        <w:t>Ghada El Serafy (Deltares, Netherlands) -Working Group chair</w:t>
      </w:r>
    </w:p>
    <w:p>
      <w:pPr>
        <w:pStyle w:val="para6"/>
        <w:numPr>
          <w:ilvl w:val="0"/>
          <w:numId w:val="2"/>
        </w:numPr>
        <w:ind w:left="707" w:hanging="283"/>
        <w:spacing w:after="0"/>
      </w:pPr>
      <w:r>
        <w:t xml:space="preserve">Anna Rubio (AZTI, Spain) – Working Group vice-chair </w:t>
      </w:r>
    </w:p>
    <w:p>
      <w:pPr>
        <w:pStyle w:val="para6"/>
        <w:numPr>
          <w:ilvl w:val="0"/>
          <w:numId w:val="2"/>
        </w:numPr>
        <w:ind w:left="707" w:hanging="283"/>
        <w:spacing w:after="0"/>
      </w:pPr>
      <w:r>
        <w:t xml:space="preserve">Francisco Campuzano (IST, Portugal) </w:t>
      </w:r>
    </w:p>
    <w:p>
      <w:pPr>
        <w:pStyle w:val="para6"/>
        <w:numPr>
          <w:ilvl w:val="0"/>
          <w:numId w:val="2"/>
        </w:numPr>
        <w:ind w:left="707" w:hanging="283"/>
        <w:spacing w:after="0"/>
      </w:pPr>
      <w:r>
        <w:t xml:space="preserve">Arthur Capet (Uni Liege, Belgium) </w:t>
      </w:r>
    </w:p>
    <w:p>
      <w:pPr>
        <w:pStyle w:val="para6"/>
        <w:numPr>
          <w:ilvl w:val="0"/>
          <w:numId w:val="2"/>
        </w:numPr>
        <w:ind w:left="707" w:hanging="283"/>
        <w:spacing w:after="0"/>
      </w:pPr>
      <w:r>
        <w:t xml:space="preserve">Veronique Creach (Cefas, UK) </w:t>
      </w:r>
    </w:p>
    <w:p>
      <w:pPr>
        <w:pStyle w:val="para6"/>
        <w:numPr>
          <w:ilvl w:val="0"/>
          <w:numId w:val="2"/>
        </w:numPr>
        <w:ind w:left="707" w:hanging="283"/>
        <w:spacing w:after="0"/>
      </w:pPr>
      <w:r>
        <w:t xml:space="preserve">Tomasz Dabrowski (Marine Institute, Ireland) </w:t>
      </w:r>
    </w:p>
    <w:p>
      <w:pPr>
        <w:pStyle w:val="para6"/>
        <w:numPr>
          <w:ilvl w:val="0"/>
          <w:numId w:val="2"/>
        </w:numPr>
        <w:ind w:left="707" w:hanging="283"/>
        <w:spacing w:after="0"/>
      </w:pPr>
      <w:r>
        <w:t xml:space="preserve">Federico Falcini (CNR, Italy) </w:t>
      </w:r>
    </w:p>
    <w:p>
      <w:pPr>
        <w:pStyle w:val="para6"/>
        <w:numPr>
          <w:ilvl w:val="0"/>
          <w:numId w:val="2"/>
        </w:numPr>
        <w:ind w:left="707" w:hanging="283"/>
        <w:spacing w:after="0"/>
      </w:pPr>
      <w:r>
        <w:t xml:space="preserve">Bruce Hackett and Øyvind Sætra (Met Norway) </w:t>
      </w:r>
    </w:p>
    <w:p>
      <w:pPr>
        <w:pStyle w:val="para6"/>
        <w:numPr>
          <w:ilvl w:val="0"/>
          <w:numId w:val="2"/>
        </w:numPr>
        <w:ind w:left="707" w:hanging="283"/>
        <w:spacing w:after="0"/>
      </w:pPr>
      <w:r>
        <w:t xml:space="preserve">Lorinc Meszaros (Deltares, Netherlands) </w:t>
      </w:r>
    </w:p>
    <w:p>
      <w:pPr>
        <w:pStyle w:val="para6"/>
        <w:numPr>
          <w:ilvl w:val="0"/>
          <w:numId w:val="2"/>
        </w:numPr>
        <w:ind w:left="707" w:hanging="283"/>
        <w:spacing w:after="0"/>
      </w:pPr>
      <w:r>
        <w:t xml:space="preserve">Ivane Pairaud (Ifremer, France) </w:t>
      </w:r>
    </w:p>
    <w:p>
      <w:pPr>
        <w:pStyle w:val="para6"/>
        <w:numPr>
          <w:ilvl w:val="0"/>
          <w:numId w:val="2"/>
        </w:numPr>
        <w:ind w:left="707" w:hanging="283"/>
        <w:spacing w:after="0"/>
      </w:pPr>
      <w:r>
        <w:t xml:space="preserve">Jun She (DMI, Denmark) </w:t>
      </w:r>
    </w:p>
    <w:p>
      <w:pPr>
        <w:pStyle w:val="para6"/>
        <w:numPr>
          <w:ilvl w:val="0"/>
          <w:numId w:val="2"/>
        </w:numPr>
        <w:ind w:left="707" w:hanging="283"/>
        <w:spacing w:after="0"/>
      </w:pPr>
      <w:r>
        <w:t xml:space="preserve">Joanna Staneva (HZG, Germany) </w:t>
      </w:r>
    </w:p>
    <w:p>
      <w:pPr>
        <w:pStyle w:val="para6"/>
        <w:numPr>
          <w:ilvl w:val="0"/>
          <w:numId w:val="2"/>
        </w:numPr>
        <w:ind w:left="707" w:hanging="283"/>
        <w:spacing w:after="0"/>
      </w:pPr>
      <w:r>
        <w:t xml:space="preserve">Joaquin Tintore and Baptiste Mourre (SOCIB, Spain) </w:t>
      </w:r>
    </w:p>
    <w:p>
      <w:pPr>
        <w:pStyle w:val="para6"/>
        <w:numPr>
          <w:ilvl w:val="0"/>
          <w:numId w:val="2"/>
        </w:numPr>
        <w:ind w:left="707" w:hanging="283"/>
        <w:spacing w:after="0"/>
      </w:pPr>
      <w:r>
        <w:t xml:space="preserve">Georg Umgiesser (CNR, Italy) </w:t>
      </w:r>
    </w:p>
    <w:p>
      <w:pPr>
        <w:pStyle w:val="para6"/>
        <w:numPr>
          <w:ilvl w:val="0"/>
          <w:numId w:val="2"/>
        </w:numPr>
        <w:ind w:left="707" w:hanging="283"/>
        <w:spacing w:after="0"/>
      </w:pPr>
      <w:r>
        <w:t xml:space="preserve">Laura Ursella (OGS, Italy) </w:t>
      </w:r>
    </w:p>
    <w:p>
      <w:pPr>
        <w:pStyle w:val="para6"/>
        <w:numPr>
          <w:ilvl w:val="0"/>
          <w:numId w:val="2"/>
        </w:numPr>
        <w:ind w:left="707" w:hanging="283"/>
        <w:spacing w:after="0"/>
      </w:pPr>
      <w:r>
        <w:t xml:space="preserve">Paloma de la Vallee and Sebastien Legrand (RBINS, Belgium) </w:t>
      </w:r>
    </w:p>
    <w:p>
      <w:pPr>
        <w:pStyle w:val="para6"/>
        <w:numPr>
          <w:ilvl w:val="0"/>
          <w:numId w:val="2"/>
        </w:numPr>
        <w:ind w:left="707" w:hanging="283"/>
        <w:spacing w:after="0"/>
      </w:pPr>
      <w:r>
        <w:t>Marina Tonani (Met Office, UK)</w:t>
      </w:r>
    </w:p>
    <w:p>
      <w:pPr>
        <w:pStyle w:val="para6"/>
        <w:numPr>
          <w:ilvl w:val="0"/>
          <w:numId w:val="2"/>
        </w:numPr>
        <w:ind w:left="707" w:hanging="283"/>
        <w:spacing w:after="0"/>
      </w:pPr>
      <w:r>
        <w:t>Angelique Melet (Mercator Ocean, France)</w:t>
      </w:r>
    </w:p>
    <w:p>
      <w:pPr>
        <w:pStyle w:val="para6"/>
        <w:numPr>
          <w:ilvl w:val="0"/>
          <w:numId w:val="2"/>
        </w:numPr>
        <w:ind w:left="707" w:hanging="283"/>
      </w:pPr>
      <w:r>
        <w:t xml:space="preserve">Glenn Nolan, Vicente Fernández and Dina Eparkhina (EuroGOOS Office) – supporting the working group </w:t>
      </w:r>
    </w:p>
    <w:p>
      <w:pPr>
        <w:pStyle w:val="para4"/>
      </w:pPr>
      <w:r/>
    </w:p>
    <w:p>
      <w:pPr>
        <w:pStyle w:val="para4"/>
      </w:pPr>
      <w:r>
        <w:t xml:space="preserve">(Site: see -&gt; </w:t>
      </w:r>
      <w:hyperlink r:id="rId8" w:history="1">
        <w:r>
          <w:t>http://eurogoos.eu/coastal-wg/</w:t>
        </w:r>
      </w:hyperlink>
      <w:r>
        <w:t>)</w:t>
      </w:r>
    </w:p>
    <w:p>
      <w:pPr>
        <w:pStyle w:val="para4"/>
      </w:pPr>
      <w:r>
        <w:t xml:space="preserve">The working group gather physically or via web-conference about once a month. As from the Kick off metting, the group is open, and anyone interested in the group’s activites and willing to participate is welcome to apply. </w:t>
      </w:r>
    </w:p>
    <w:p>
      <w:pPr>
        <w:pStyle w:val="para4"/>
      </w:pPr>
      <w:r/>
    </w:p>
    <w:p>
      <w:pPr>
        <w:pStyle w:val="para4"/>
        <w:rPr>
          <w:u w:color="auto" w:val="single"/>
        </w:rPr>
      </w:pPr>
      <w:r>
        <w:rPr>
          <w:u w:color="auto" w:val="single"/>
        </w:rPr>
        <w:t xml:space="preserve">What do the Terms of Reference say? </w:t>
      </w:r>
    </w:p>
    <w:p>
      <w:pPr>
        <w:pStyle w:val="para4"/>
      </w:pPr>
      <w:r>
        <w:t>The coastal zone is the major interface between humans and oceans, for industrial or touristic/leisure activities. The Operational Oceanography community can assist both the industry and the general public by developping products and services for their specific aim. The coastal WG aims at evaluating the entire value chain from observations and forecasts to actual products and services, to assess its sustainability and fitness for puprose. Ther working group ambitions to perform a gap analysis, trying to appraise where are the weak links in the value chain, holding back a fully operational service to the appropriate end users. In summary, the ultimate goal if the WG is to secure and improve all elements of the coastal value chain. The WG will provide recommendations to facilitate the creation and the sustainability of products by groups around Europe.</w:t>
      </w:r>
    </w:p>
    <w:p>
      <w:pPr>
        <w:pStyle w:val="para4"/>
      </w:pPr>
      <w:r/>
    </w:p>
    <w:p>
      <w:pPr>
        <w:pStyle w:val="para4"/>
      </w:pPr>
      <w:r>
        <w:rPr>
          <w:u w:color="auto" w:val="single"/>
        </w:rPr>
        <w:t>Organisation in work packages</w:t>
      </w:r>
      <w:r>
        <w:t xml:space="preserve">. </w:t>
      </w:r>
    </w:p>
    <w:p>
      <w:pPr>
        <w:pStyle w:val="para4"/>
      </w:pPr>
      <w:r>
        <w:t xml:space="preserve">The tasks of the coastal WG are split and organised in different work packages. The different work packages were defined during the kick off meeting as follows: </w:t>
      </w:r>
    </w:p>
    <w:p>
      <w:pPr>
        <w:pStyle w:val="para4"/>
      </w:pPr>
      <w:r/>
    </w:p>
    <w:p>
      <w:pPr>
        <w:pStyle w:val="para4"/>
        <w:numPr>
          <w:ilvl w:val="0"/>
          <w:numId w:val="3"/>
        </w:numPr>
        <w:ind w:left="0" w:firstLine="0"/>
      </w:pPr>
      <w:r>
        <w:rPr>
          <w:i/>
        </w:rPr>
        <w:t>End users identification</w:t>
      </w:r>
      <w:r>
        <w:t xml:space="preserve">. After a segregation exercice, to identifiy the classes of possible marine service users, each member was requested to provide approwimately 2 end-users for each classes. This excercise lead to a short database collecting the variety of potential services and products clients. This database will ultimately sustain the fitness for purpose evaluation of the chains. </w:t>
      </w:r>
    </w:p>
    <w:p>
      <w:pPr>
        <w:pStyle w:val="para4"/>
        <w:numPr>
          <w:ilvl w:val="0"/>
          <w:numId w:val="3"/>
        </w:numPr>
        <w:ind w:left="0" w:firstLine="0"/>
      </w:pPr>
      <w:r>
        <w:rPr>
          <w:i/>
        </w:rPr>
        <w:t>Observations / River data Inventory</w:t>
      </w:r>
      <w:r>
        <w:t xml:space="preserve">. The WG will identify the existing datasets already available via data ingestion projects (EMODNet, .. ). In particular, the river discharge observations were immediately identified as a gap in the value chain. These observations are rare at best, usually inexistent especially in near-real time or real time. The aim of this work package is to inventorise datasets already publicly available , as well as trying to find sources of river discharge data. </w:t>
      </w:r>
    </w:p>
    <w:p>
      <w:pPr>
        <w:pStyle w:val="para4"/>
        <w:numPr>
          <w:ilvl w:val="0"/>
          <w:numId w:val="3"/>
        </w:numPr>
        <w:ind w:left="0" w:firstLine="0"/>
      </w:pPr>
      <w:r>
        <w:rPr>
          <w:i/>
        </w:rPr>
        <w:t>Model Inventory</w:t>
      </w:r>
      <w:r>
        <w:t xml:space="preserve">: The WG will compile the model inventory already existing on the EuroGOOS website. In addition, the WG will send a survey as widely as possible, asking for details on operational models presently in service. The design of the survey will be developped internally and distributed via the personal contacts of the members. The results of the survey will be complemented by the acutal state of the EuroGOOS model inventory  and the whole be analysed to identify is there remain gaps in the modelling capacity of the coastal zone. </w:t>
      </w:r>
    </w:p>
    <w:p>
      <w:pPr>
        <w:pStyle w:val="para4"/>
        <w:numPr>
          <w:ilvl w:val="0"/>
          <w:numId w:val="3"/>
        </w:numPr>
        <w:ind w:left="0" w:firstLine="0"/>
      </w:pPr>
      <w:r>
        <w:rPr>
          <w:i/>
        </w:rPr>
        <w:t>Data Assimilation</w:t>
      </w:r>
      <w:r>
        <w:t xml:space="preserve">: The WG will make an inventory of the existing data assimiliation techniques presently used by the WG members. Furthermore, the WG will define a framework for integration of in-situ observations in models, to better define the optimal observations points. </w:t>
      </w:r>
    </w:p>
    <w:p>
      <w:pPr>
        <w:pStyle w:val="para4"/>
        <w:numPr>
          <w:ilvl w:val="0"/>
          <w:numId w:val="3"/>
        </w:numPr>
        <w:ind w:left="0" w:firstLine="0"/>
      </w:pPr>
      <w:r>
        <w:rPr>
          <w:i/>
        </w:rPr>
        <w:t>Inventory of data assimilating products</w:t>
      </w:r>
      <w:r>
        <w:t xml:space="preserve">: The WG will gather information on existing products using a combination of models, satellite and in-situ observations. </w:t>
      </w:r>
    </w:p>
    <w:p>
      <w:pPr>
        <w:pStyle w:val="para4"/>
        <w:numPr>
          <w:ilvl w:val="0"/>
          <w:numId w:val="3"/>
        </w:numPr>
        <w:ind w:left="0" w:firstLine="0"/>
      </w:pPr>
      <w:r>
        <w:rPr>
          <w:i/>
        </w:rPr>
        <w:t>Fitness for puprose</w:t>
      </w:r>
      <w:r>
        <w:t xml:space="preserve">: On basis of the completion of the previous work packages, the fitness for puprose of the products will be assessed. Furthermore, the WG will possibly suggest new product to co/develop that might fill the gap in the existing portfolio provided to the end-users. </w:t>
      </w:r>
    </w:p>
    <w:p>
      <w:pPr>
        <w:pStyle w:val="para4"/>
        <w:numPr>
          <w:ilvl w:val="0"/>
          <w:numId w:val="3"/>
        </w:numPr>
        <w:ind w:left="0" w:firstLine="0"/>
      </w:pPr>
      <w:r>
        <w:rPr>
          <w:i/>
        </w:rPr>
        <w:t>White paper</w:t>
      </w:r>
      <w:r>
        <w:t>: The WG will produce a white paper to issue recommendations to the community.</w:t>
      </w:r>
    </w:p>
    <w:p>
      <w:pPr>
        <w:pStyle w:val="para4"/>
      </w:pPr>
      <w:r/>
    </w:p>
    <w:p>
      <w:pPr>
        <w:pStyle w:val="para4"/>
        <w:rPr>
          <w:u w:color="auto" w:val="single"/>
        </w:rPr>
      </w:pPr>
      <w:r>
        <w:rPr>
          <w:u w:color="auto" w:val="single"/>
        </w:rPr>
        <w:t xml:space="preserve">Present state of the work packages WP1. </w:t>
      </w:r>
    </w:p>
    <w:p>
      <w:pPr>
        <w:pStyle w:val="para4"/>
      </w:pPr>
      <w:r/>
    </w:p>
    <w:p>
      <w:pPr>
        <w:pStyle w:val="para4"/>
      </w:pPr>
      <w:r>
        <w:t>WP1 is completed (list of end users).</w:t>
      </w:r>
    </w:p>
    <w:p>
      <w:pPr>
        <w:pStyle w:val="para4"/>
      </w:pPr>
      <w:r>
        <w:t>WP2 – In progress – a number of river discharge datasets have been listed. This WP is still being worked upon.</w:t>
      </w:r>
    </w:p>
    <w:p>
      <w:pPr>
        <w:pStyle w:val="para4"/>
      </w:pPr>
      <w:r>
        <w:t>WP3 – Almost there – The model survey is finished. The results have benn analysed and the results are summarised in a paper that is to be published. The last internal review of the paper is under way.</w:t>
      </w:r>
    </w:p>
    <w:p>
      <w:pPr>
        <w:pStyle w:val="para4"/>
      </w:pPr>
      <w:r>
        <w:t>WP4 –  In progress – A first template for the evaluation of the different elements pertaining to data assimilation has been written. It is partially filled.</w:t>
      </w:r>
    </w:p>
    <w:p>
      <w:pPr>
        <w:pStyle w:val="para4"/>
      </w:pPr>
      <w:r>
        <w:t xml:space="preserve">WP5 – In progress – The template fot the survey has been written. </w:t>
      </w:r>
    </w:p>
    <w:p>
      <w:pPr>
        <w:pStyle w:val="para4"/>
      </w:pPr>
      <w:r>
        <w:t>WP6 – On Hold – awaits completion of WP 1 to 5</w:t>
      </w:r>
    </w:p>
    <w:p>
      <w:pPr>
        <w:pStyle w:val="para4"/>
      </w:pPr>
      <w:r>
        <w:t>WP7 – Ghada intends to write a first skeleton by November.</w:t>
      </w:r>
    </w:p>
    <w:p>
      <w:pPr>
        <w:pStyle w:val="para4"/>
      </w:pPr>
      <w:r/>
    </w:p>
    <w:p>
      <w:pPr>
        <w:pStyle w:val="para4"/>
        <w:rPr>
          <w:u w:color="auto" w:val="single"/>
        </w:rPr>
      </w:pPr>
      <w:r>
        <w:rPr>
          <w:u w:color="auto" w:val="single"/>
        </w:rPr>
        <w:t>Outcome.</w:t>
      </w:r>
    </w:p>
    <w:p>
      <w:pPr>
        <w:pStyle w:val="para4"/>
      </w:pPr>
      <w:r>
        <w:t>The Coastal WG has written a paper on the model inventory analysis, it will shortly be submitted for publication.</w:t>
      </w:r>
    </w:p>
    <w:p>
      <w:pPr>
        <w:pStyle w:val="para4"/>
      </w:pPr>
      <w:r>
        <w:t xml:space="preserve">The coastal WG has fosterred the submission of a research project called FORCOAST, gathering different members of the group, and other contributors. </w:t>
      </w:r>
    </w:p>
    <w:p>
      <w:pPr>
        <w:pStyle w:val="para4"/>
      </w:pPr>
      <w:r/>
    </w:p>
    <w:sectPr>
      <w:footnotePr>
        <w:pos w:val="pageBottom"/>
        <w:numFmt w:val="decimal"/>
        <w:numStart w:val="1"/>
        <w:numRestart w:val="continuous"/>
      </w:footnotePr>
      <w:endnotePr>
        <w:pos w:val="docEnd"/>
        <w:numFmt w:val="decimal"/>
        <w:numStart w:val="1"/>
        <w:numRestart w:val="continuous"/>
      </w:endnotePr>
      <w:type w:val="continuous"/>
      <w:pgSz w:h="16838" w:w="11906"/>
      <w:pgMar w:left="1134" w:top="1134" w:right="1134" w:bottom="1134"/>
      <w:paperSrc w:first="0" w:other="0"/>
      <w:pgNumType w:fmt="decimal"/>
      <w:tmGutter w:val="1"/>
      <w:mirrorMargins w:val="0"/>
      <w:tmSection w:h="-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OpenSymbol">
    <w:charset w:val="00"/>
    <w:family w:val="roman"/>
    <w:pitch w:val="default"/>
  </w:font>
  <w:font w:name="Lohit Devanagari">
    <w:charset w:val="00"/>
    <w:family w:val="auto"/>
    <w:pitch w:val="default"/>
  </w:font>
  <w:font w:name="Liberation Serif">
    <w:charset w:val="00"/>
    <w:family w:val="roman"/>
    <w:pitch w:val="default"/>
  </w:font>
  <w:font w:name="Liberation Sans">
    <w:charset w:val="00"/>
    <w:family w:val="swiss"/>
    <w:pitch w:val="default"/>
  </w:font>
  <w:font w:name="Noto Sans CJK SC">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Outline"/>
    <w:lvl w:ilvl="0">
      <w:start w:val="1"/>
      <w:numFmt w:val="none"/>
      <w:suff w:val="tab"/>
      <w:lvlText w:val="%1"/>
      <w:lvlJc w:val="left"/>
      <w:pPr>
        <w:ind w:left="0" w:hanging="0"/>
      </w:pPr>
    </w:lvl>
    <w:lvl w:ilvl="1">
      <w:start w:val="1"/>
      <w:numFmt w:val="none"/>
      <w:suff w:val="tab"/>
      <w:lvlText w:val="%2"/>
      <w:lvlJc w:val="left"/>
      <w:pPr>
        <w:ind w:left="0" w:hanging="0"/>
      </w:pPr>
    </w:lvl>
    <w:lvl w:ilvl="2">
      <w:start w:val="1"/>
      <w:numFmt w:val="none"/>
      <w:suff w:val="tab"/>
      <w:lvlText w:val="%3"/>
      <w:lvlJc w:val="left"/>
      <w:pPr>
        <w:ind w:left="0" w:hanging="0"/>
      </w:pPr>
    </w:lvl>
    <w:lvl w:ilvl="3">
      <w:start w:val="1"/>
      <w:numFmt w:val="none"/>
      <w:suff w:val="tab"/>
      <w:lvlText w:val="%4"/>
      <w:lvlJc w:val="left"/>
      <w:pPr>
        <w:ind w:left="0" w:hanging="0"/>
      </w:pPr>
    </w:lvl>
    <w:lvl w:ilvl="4">
      <w:start w:val="1"/>
      <w:numFmt w:val="none"/>
      <w:suff w:val="tab"/>
      <w:lvlText w:val="%5"/>
      <w:lvlJc w:val="left"/>
      <w:pPr>
        <w:ind w:left="0" w:hanging="0"/>
      </w:pPr>
    </w:lvl>
    <w:lvl w:ilvl="5">
      <w:start w:val="1"/>
      <w:numFmt w:val="none"/>
      <w:suff w:val="tab"/>
      <w:lvlText w:val="%6"/>
      <w:lvlJc w:val="left"/>
      <w:pPr>
        <w:ind w:left="0" w:hanging="0"/>
      </w:pPr>
    </w:lvl>
    <w:lvl w:ilvl="6">
      <w:start w:val="1"/>
      <w:numFmt w:val="none"/>
      <w:suff w:val="tab"/>
      <w:lvlText w:val="%7"/>
      <w:lvlJc w:val="left"/>
      <w:pPr>
        <w:ind w:left="0" w:hanging="0"/>
      </w:pPr>
    </w:lvl>
    <w:lvl w:ilvl="7">
      <w:start w:val="1"/>
      <w:numFmt w:val="none"/>
      <w:suff w:val="tab"/>
      <w:lvlText w:val="%8"/>
      <w:lvlJc w:val="left"/>
      <w:pPr>
        <w:ind w:left="0" w:hanging="0"/>
      </w:pPr>
    </w:lvl>
    <w:lvl w:ilvl="8">
      <w:start w:val="1"/>
      <w:numFmt w:val="none"/>
      <w:suff w:val="tab"/>
      <w:lvlText w:val="%9"/>
      <w:lvlJc w:val="left"/>
      <w:pPr>
        <w:ind w:left="0" w:hanging="0"/>
      </w:pPr>
    </w:lvl>
  </w:abstractNum>
  <w:abstractNum w:abstractNumId="2">
    <w:multiLevelType w:val="hybridMultilevel"/>
    <w:name w:val="L1"/>
    <w:lvl w:ilvl="0">
      <w:numFmt w:val="bullet"/>
      <w:lvlText w:val="•"/>
      <w:lvlJc w:val="left"/>
      <w:pPr>
        <w:tabs>
          <w:tab w:val="num" w:pos="707"/>
        </w:tabs>
        <w:ind w:left="707" w:hanging="283"/>
      </w:pPr>
      <w:rPr>
        <w:rFonts w:ascii="OpenSymbol" w:hAnsi="OpenSymbol" w:eastAsia="OpenSymbol" w:cs="OpenSymbol"/>
      </w:rPr>
    </w:lvl>
    <w:lvl w:ilvl="1">
      <w:numFmt w:val="bullet"/>
      <w:lvlText w:val="•"/>
      <w:lvlJc w:val="left"/>
      <w:pPr>
        <w:tabs>
          <w:tab w:val="num" w:pos="1414"/>
        </w:tabs>
        <w:ind w:left="1414" w:hanging="283"/>
      </w:pPr>
      <w:rPr>
        <w:rFonts w:ascii="OpenSymbol" w:hAnsi="OpenSymbol" w:eastAsia="OpenSymbol" w:cs="OpenSymbol"/>
      </w:rPr>
    </w:lvl>
    <w:lvl w:ilvl="2">
      <w:numFmt w:val="bullet"/>
      <w:lvlText w:val="•"/>
      <w:lvlJc w:val="left"/>
      <w:pPr>
        <w:tabs>
          <w:tab w:val="num" w:pos="2121"/>
        </w:tabs>
        <w:ind w:left="2121" w:hanging="283"/>
      </w:pPr>
      <w:rPr>
        <w:rFonts w:ascii="OpenSymbol" w:hAnsi="OpenSymbol" w:eastAsia="OpenSymbol" w:cs="OpenSymbol"/>
      </w:rPr>
    </w:lvl>
    <w:lvl w:ilvl="3">
      <w:numFmt w:val="bullet"/>
      <w:lvlText w:val="•"/>
      <w:lvlJc w:val="left"/>
      <w:pPr>
        <w:tabs>
          <w:tab w:val="num" w:pos="2828"/>
        </w:tabs>
        <w:ind w:left="2828" w:hanging="283"/>
      </w:pPr>
      <w:rPr>
        <w:rFonts w:ascii="OpenSymbol" w:hAnsi="OpenSymbol" w:eastAsia="OpenSymbol" w:cs="OpenSymbol"/>
      </w:rPr>
    </w:lvl>
    <w:lvl w:ilvl="4">
      <w:numFmt w:val="bullet"/>
      <w:lvlText w:val="•"/>
      <w:lvlJc w:val="left"/>
      <w:pPr>
        <w:tabs>
          <w:tab w:val="num" w:pos="3535"/>
        </w:tabs>
        <w:ind w:left="3535" w:hanging="283"/>
      </w:pPr>
      <w:rPr>
        <w:rFonts w:ascii="OpenSymbol" w:hAnsi="OpenSymbol" w:eastAsia="OpenSymbol" w:cs="OpenSymbol"/>
      </w:rPr>
    </w:lvl>
    <w:lvl w:ilvl="5">
      <w:numFmt w:val="bullet"/>
      <w:lvlText w:val="•"/>
      <w:lvlJc w:val="left"/>
      <w:pPr>
        <w:tabs>
          <w:tab w:val="num" w:pos="4242"/>
        </w:tabs>
        <w:ind w:left="4242" w:hanging="283"/>
      </w:pPr>
      <w:rPr>
        <w:rFonts w:ascii="OpenSymbol" w:hAnsi="OpenSymbol" w:eastAsia="OpenSymbol" w:cs="OpenSymbol"/>
      </w:rPr>
    </w:lvl>
    <w:lvl w:ilvl="6">
      <w:numFmt w:val="bullet"/>
      <w:lvlText w:val="•"/>
      <w:lvlJc w:val="left"/>
      <w:pPr>
        <w:tabs>
          <w:tab w:val="num" w:pos="4949"/>
        </w:tabs>
        <w:ind w:left="4949" w:hanging="283"/>
      </w:pPr>
      <w:rPr>
        <w:rFonts w:ascii="OpenSymbol" w:hAnsi="OpenSymbol" w:eastAsia="OpenSymbol" w:cs="OpenSymbol"/>
      </w:rPr>
    </w:lvl>
    <w:lvl w:ilvl="7">
      <w:numFmt w:val="bullet"/>
      <w:lvlText w:val="•"/>
      <w:lvlJc w:val="left"/>
      <w:pPr>
        <w:tabs>
          <w:tab w:val="num" w:pos="5656"/>
        </w:tabs>
        <w:ind w:left="5656" w:hanging="283"/>
      </w:pPr>
      <w:rPr>
        <w:rFonts w:ascii="OpenSymbol" w:hAnsi="OpenSymbol" w:eastAsia="OpenSymbol" w:cs="OpenSymbol"/>
      </w:rPr>
    </w:lvl>
    <w:lvl w:ilvl="8">
      <w:numFmt w:val="bullet"/>
      <w:lvlText w:val="•"/>
      <w:lvlJc w:val="left"/>
      <w:pPr>
        <w:tabs>
          <w:tab w:val="num" w:pos="13150"/>
        </w:tabs>
        <w:ind w:left="13150" w:hanging="283"/>
      </w:pPr>
      <w:rPr>
        <w:rFonts w:ascii="OpenSymbol" w:hAnsi="OpenSymbol" w:eastAsia="OpenSymbol" w:cs="OpenSymbol"/>
      </w:rPr>
    </w:lvl>
  </w:abstractNum>
  <w:abstractNum w:abstractNumId="3">
    <w:multiLevelType w:val="hybridMultilevel"/>
    <w:name w:val="L2"/>
    <w:lvl w:ilvl="0">
      <w:start w:val="1"/>
      <w:numFmt w:val="decimal"/>
      <w:suff w:val="tab"/>
      <w:lvlText w:val="%1."/>
      <w:lvlJc w:val="left"/>
      <w:pPr>
        <w:ind w:left="361" w:hanging="0"/>
      </w:pPr>
    </w:lvl>
    <w:lvl w:ilvl="1">
      <w:start w:val="1"/>
      <w:numFmt w:val="decimal"/>
      <w:suff w:val="tab"/>
      <w:lvlText w:val="%2."/>
      <w:lvlJc w:val="left"/>
      <w:pPr>
        <w:ind w:left="721" w:hanging="0"/>
      </w:pPr>
    </w:lvl>
    <w:lvl w:ilvl="2">
      <w:start w:val="1"/>
      <w:numFmt w:val="decimal"/>
      <w:suff w:val="tab"/>
      <w:lvlText w:val="%3."/>
      <w:lvlJc w:val="left"/>
      <w:pPr>
        <w:ind w:left="1081" w:hanging="0"/>
      </w:pPr>
    </w:lvl>
    <w:lvl w:ilvl="3">
      <w:start w:val="1"/>
      <w:numFmt w:val="decimal"/>
      <w:suff w:val="tab"/>
      <w:lvlText w:val="%4."/>
      <w:lvlJc w:val="left"/>
      <w:pPr>
        <w:ind w:left="1441" w:hanging="0"/>
      </w:pPr>
    </w:lvl>
    <w:lvl w:ilvl="4">
      <w:start w:val="1"/>
      <w:numFmt w:val="decimal"/>
      <w:suff w:val="tab"/>
      <w:lvlText w:val="%5."/>
      <w:lvlJc w:val="left"/>
      <w:pPr>
        <w:ind w:left="1801" w:hanging="0"/>
      </w:pPr>
    </w:lvl>
    <w:lvl w:ilvl="5">
      <w:start w:val="1"/>
      <w:numFmt w:val="decimal"/>
      <w:suff w:val="tab"/>
      <w:lvlText w:val="%6."/>
      <w:lvlJc w:val="left"/>
      <w:pPr>
        <w:ind w:left="2161" w:hanging="0"/>
      </w:pPr>
    </w:lvl>
    <w:lvl w:ilvl="6">
      <w:start w:val="1"/>
      <w:numFmt w:val="decimal"/>
      <w:suff w:val="tab"/>
      <w:lvlText w:val="%7."/>
      <w:lvlJc w:val="left"/>
      <w:pPr>
        <w:ind w:left="2521" w:hanging="0"/>
      </w:pPr>
    </w:lvl>
    <w:lvl w:ilvl="7">
      <w:start w:val="1"/>
      <w:numFmt w:val="decimal"/>
      <w:suff w:val="tab"/>
      <w:lvlText w:val="%8."/>
      <w:lvlJc w:val="left"/>
      <w:pPr>
        <w:ind w:left="2881" w:hanging="0"/>
      </w:pPr>
    </w:lvl>
    <w:lvl w:ilvl="8">
      <w:start w:val="1"/>
      <w:numFmt w:val="decimal"/>
      <w:suff w:val="tab"/>
      <w:lvlText w:val="%9."/>
      <w:lvlJc w:val="left"/>
      <w:pPr>
        <w:ind w:left="3601" w:hanging="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9"/>
  <w:autoHyphenation w:val="1"/>
  <w:doNotShadeFormData w:val="1"/>
  <w:captions>
    <w:caption w:name="Table" w:pos="below" w:numFmt="decimal"/>
    <w:caption w:name="Figure" w:pos="below" w:numFmt="decimal"/>
    <w:caption w:name="Picture" w:pos="below" w:numFmt="decimal"/>
    <w:caption w:name="Illustration" w:pos="below" w:numFmt="decimal"/>
    <w:caption w:name="Text" w:pos="below" w:numFmt="decimal"/>
    <w:caption w:name="Drawing"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ExpandShiftReturn w:val="1"/>
  </w:compat>
  <w:compatSetting w:name="compatibilityMode" w:uri="http://schemas.microsoft.com/office/word" w:val="15"/>
  <w:shapeDefaults>
    <o:shapedefaults v:ext="edit" spidmax="1026"/>
    <o:shapelayout v:ext="edit">
      <o:rules v:ext="edit"/>
    </o:shapelayout>
  </w:shapeDefaults>
  <w:tmPrefOne w:val="16"/>
  <w:tmPrefTwo w:val="1"/>
  <w:tmFmtPref w:val="1128413323"/>
  <w:tmCommentsPr>
    <w:tmCommentsPlace w:val="0"/>
    <w:tmCommentsWidth w:val="3240"/>
    <w:tmCommentsColor w:val="-1"/>
  </w:tmCommentsPr>
  <w:tmReviewPr>
    <w:tmReviewEnabled w:val="0"/>
    <w:tmReviewShow w:val="1"/>
    <w:tmReviewPrint w:val="0"/>
    <w:tmRevisionNum w:val="7"/>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0"/>
    <w:tmLastPosCaret>
      <w:tmLastPosPgfIdx w:val="0"/>
      <w:tmLastPosIdx w:val="12"/>
    </w:tmLastPosCaret>
    <w:tmLastPosAnchor>
      <w:tmLastPosPgfIdx w:val="0"/>
      <w:tmLastPosIdx w:val="0"/>
    </w:tmLastPosAnchor>
    <w:tmLastPosTblRect w:left="0" w:top="0" w:right="0" w:bottom="0"/>
  </w:tmLastPos>
  <w:tmAppRevision w:date="1571312242" w:val="971" w:fileVer="342" w:fileVer64="64" w:fileVerOS="3"/>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hAnsi="Liberation Serif" w:eastAsia="Noto Sans CJK SC" w:cs="Lohit Devanagari"/>
        <w:kern w:val="1"/>
        <w:sz w:val="24"/>
        <w:szCs w:val="24"/>
        <w:lang w:val="nl-be" w:eastAsia="zh-cn" w:bidi="hi-in"/>
      </w:rPr>
    </w:rPrDefault>
    <w:pPrDefault>
      <w:pPr>
        <w:suppressAutoHyphens/>
        <w:hyphenationLines w:val="0"/>
        <w:tabs defTabSz="709"/>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240" w:after="60"/>
      <w:keepNext/>
      <w:outlineLvl w:val="0"/>
      <w:keepLines/>
    </w:pPr>
    <w:rPr>
      <w:rFonts w:ascii="Basic Sans" w:hAnsi="Basic Sans" w:eastAsia="Basic Sans" w:cs="Basic Sans"/>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paragraph" w:styleId="para4" w:customStyle="1">
    <w:name w:val="Standard"/>
    <w:qFormat/>
    <w:basedOn w:val="para0"/>
    <w:pPr>
      <w:suppressAutoHyphens/>
      <w:hyphenationLines w:val="0"/>
      <w:widowControl/>
      <w:tabs defTabSz="709"/>
    </w:pPr>
  </w:style>
  <w:style w:type="paragraph" w:styleId="para5" w:customStyle="1">
    <w:name w:val="Heading"/>
    <w:qFormat/>
    <w:basedOn w:val="para4"/>
    <w:next w:val="para6"/>
    <w:pPr>
      <w:spacing w:before="240" w:after="120"/>
      <w:keepNext/>
    </w:pPr>
    <w:rPr>
      <w:rFonts w:ascii="Liberation Sans" w:hAnsi="Liberation Sans"/>
      <w:sz w:val="28"/>
      <w:szCs w:val="28"/>
    </w:rPr>
  </w:style>
  <w:style w:type="paragraph" w:styleId="para6" w:customStyle="1">
    <w:name w:val="Text body"/>
    <w:qFormat/>
    <w:basedOn w:val="para4"/>
    <w:pPr>
      <w:spacing w:after="140" w:line="276" w:lineRule="auto"/>
    </w:pPr>
  </w:style>
  <w:style w:type="paragraph" w:styleId="para7">
    <w:name w:val="List"/>
    <w:qFormat/>
    <w:basedOn w:val="para6"/>
    <w:rPr>
      <w:sz w:val="24"/>
    </w:rPr>
  </w:style>
  <w:style w:type="paragraph" w:styleId="para8">
    <w:name w:val="caption"/>
    <w:qFormat/>
    <w:basedOn w:val="para4"/>
    <w:pPr>
      <w:spacing w:before="120" w:after="120"/>
    </w:pPr>
    <w:rPr>
      <w:i/>
      <w:iCs/>
      <w:sz w:val="24"/>
    </w:rPr>
  </w:style>
  <w:style w:type="paragraph" w:styleId="para9" w:customStyle="1">
    <w:name w:val="Index"/>
    <w:qFormat/>
    <w:basedOn w:val="para4"/>
    <w:rPr>
      <w:sz w:val="24"/>
    </w:rPr>
  </w:style>
  <w:style w:type="character" w:styleId="char0" w:default="1">
    <w:name w:val="Default Paragraph Font"/>
  </w:style>
  <w:style w:type="character" w:styleId="char1" w:customStyle="1">
    <w:name w:val="Strong Emphasis"/>
    <w:rPr>
      <w:b/>
      <w:bCs/>
    </w:rPr>
  </w:style>
  <w:style w:type="character" w:styleId="char2" w:customStyle="1">
    <w:name w:val="Bullet Symbols"/>
    <w:rPr>
      <w:rFonts w:ascii="OpenSymbol" w:hAnsi="OpenSymbol" w:eastAsia="OpenSymbol" w:cs="OpenSymbol"/>
    </w:rPr>
  </w:style>
  <w:style w:type="character" w:styleId="char3" w:customStyle="1">
    <w:name w:val="Internet link"/>
    <w:rPr>
      <w:color w:val="000080"/>
      <w:u w:color="auto" w:val="single"/>
      <w:noProof w:val="1"/>
    </w:rPr>
  </w:style>
  <w:style w:type="character" w:styleId="char4" w:customStyle="1">
    <w:name w:val="Numbering Symbols"/>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hAnsi="Liberation Serif" w:eastAsia="Noto Sans CJK SC" w:cs="Lohit Devanagari"/>
        <w:kern w:val="1"/>
        <w:sz w:val="24"/>
        <w:szCs w:val="24"/>
        <w:lang w:val="nl-be" w:eastAsia="zh-cn" w:bidi="hi-in"/>
      </w:rPr>
    </w:rPrDefault>
    <w:pPrDefault>
      <w:pPr>
        <w:suppressAutoHyphens/>
        <w:hyphenationLines w:val="0"/>
        <w:tabs defTabSz="709"/>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240" w:after="60"/>
      <w:keepNext/>
      <w:outlineLvl w:val="0"/>
      <w:keepLines/>
    </w:pPr>
    <w:rPr>
      <w:rFonts w:ascii="Basic Sans" w:hAnsi="Basic Sans" w:eastAsia="Basic Sans" w:cs="Basic Sans"/>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paragraph" w:styleId="para4" w:customStyle="1">
    <w:name w:val="Standard"/>
    <w:qFormat/>
    <w:basedOn w:val="para0"/>
    <w:pPr>
      <w:suppressAutoHyphens/>
      <w:hyphenationLines w:val="0"/>
      <w:widowControl/>
      <w:tabs defTabSz="709"/>
    </w:pPr>
  </w:style>
  <w:style w:type="paragraph" w:styleId="para5" w:customStyle="1">
    <w:name w:val="Heading"/>
    <w:qFormat/>
    <w:basedOn w:val="para4"/>
    <w:next w:val="para6"/>
    <w:pPr>
      <w:spacing w:before="240" w:after="120"/>
      <w:keepNext/>
    </w:pPr>
    <w:rPr>
      <w:rFonts w:ascii="Liberation Sans" w:hAnsi="Liberation Sans"/>
      <w:sz w:val="28"/>
      <w:szCs w:val="28"/>
    </w:rPr>
  </w:style>
  <w:style w:type="paragraph" w:styleId="para6" w:customStyle="1">
    <w:name w:val="Text body"/>
    <w:qFormat/>
    <w:basedOn w:val="para4"/>
    <w:pPr>
      <w:spacing w:after="140" w:line="276" w:lineRule="auto"/>
    </w:pPr>
  </w:style>
  <w:style w:type="paragraph" w:styleId="para7">
    <w:name w:val="List"/>
    <w:qFormat/>
    <w:basedOn w:val="para6"/>
    <w:rPr>
      <w:sz w:val="24"/>
    </w:rPr>
  </w:style>
  <w:style w:type="paragraph" w:styleId="para8">
    <w:name w:val="caption"/>
    <w:qFormat/>
    <w:basedOn w:val="para4"/>
    <w:pPr>
      <w:spacing w:before="120" w:after="120"/>
    </w:pPr>
    <w:rPr>
      <w:i/>
      <w:iCs/>
      <w:sz w:val="24"/>
    </w:rPr>
  </w:style>
  <w:style w:type="paragraph" w:styleId="para9" w:customStyle="1">
    <w:name w:val="Index"/>
    <w:qFormat/>
    <w:basedOn w:val="para4"/>
    <w:rPr>
      <w:sz w:val="24"/>
    </w:rPr>
  </w:style>
  <w:style w:type="character" w:styleId="char0" w:default="1">
    <w:name w:val="Default Paragraph Font"/>
  </w:style>
  <w:style w:type="character" w:styleId="char1" w:customStyle="1">
    <w:name w:val="Strong Emphasis"/>
    <w:rPr>
      <w:b/>
      <w:bCs/>
    </w:rPr>
  </w:style>
  <w:style w:type="character" w:styleId="char2" w:customStyle="1">
    <w:name w:val="Bullet Symbols"/>
    <w:rPr>
      <w:rFonts w:ascii="OpenSymbol" w:hAnsi="OpenSymbol" w:eastAsia="OpenSymbol" w:cs="OpenSymbol"/>
    </w:rPr>
  </w:style>
  <w:style w:type="character" w:styleId="char3" w:customStyle="1">
    <w:name w:val="Internet link"/>
    <w:rPr>
      <w:color w:val="000080"/>
      <w:u w:color="auto" w:val="single"/>
      <w:noProof w:val="1"/>
    </w:rPr>
  </w:style>
  <w:style w:type="character" w:styleId="char4" w:customStyle="1">
    <w:name w:val="Numbering Symbols"/>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eurogoos.eu/coastal-w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Basic Sans"/>
        <a:ea typeface="Basic Sans"/>
        <a:cs typeface="Basic Sans"/>
      </a:majorFont>
      <a:minorFont>
        <a:latin typeface="Liberation Serif"/>
        <a:ea typeface="Noto Sans CJK SC"/>
        <a:cs typeface="Lohit Devanaga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rev.971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Sébastien Legrand </cp:lastModifiedBy>
  <cp:revision>7</cp:revision>
  <dcterms:created xsi:type="dcterms:W3CDTF">2019-10-14T09:18:20Z</dcterms:created>
  <dcterms:modified xsi:type="dcterms:W3CDTF">2019-10-17T11:37:22Z</dcterms:modified>
</cp:coreProperties>
</file>